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jc w:val="center"/>
        <w:spacing w:after="60"/>
      </w:pPr>
      <w:r>
        <w:rPr>
          <w:b/>
          <w:color w:val="1F4E79"/>
          <w:sz w:val="40"/>
          <w:szCs w:val="40"/>
        </w:rPr>
        <w:t xml:space="preserve">GPHARMA — Opérations impactant le stock</w:t>
      </w:r>
    </w:p>
    <w:p>
      <w:pPr>
        <w:jc w:val="center"/>
        <w:spacing w:after="60"/>
      </w:pPr>
      <w:r>
        <w:rPr>
          <w:i/>
          <w:color w:val="555555"/>
          <w:sz w:val="22"/>
          <w:szCs w:val="22"/>
        </w:rPr>
        <w:t xml:space="preserve">Cartographie des dimensions de stock par opération — modèle journal MOUVEMENT_STOCK piloté par triggers</w:t>
      </w:r>
    </w:p>
    <w:p>
      <w:pPr>
        <w:jc w:val="center"/>
        <w:spacing w:after="240"/>
      </w:pPr>
      <w:r>
        <w:rPr>
          <w:i/>
          <w:color w:val="888888"/>
          <w:sz w:val="18"/>
          <w:szCs w:val="18"/>
        </w:rPr>
        <w:t xml:space="preserve">Base : db_getraco_pre_prod_demo   •   Généré le 17/07/2026</w:t>
      </w:r>
    </w:p>
    <w:p>
      <w:pPr>
        <w:spacing w:after="140"/>
      </w:pPr>
      <w:r>
        <w:rPr>
          <w:b/>
          <w:color w:val="1F4E79"/>
          <w:sz w:val="30"/>
          <w:szCs w:val="30"/>
        </w:rPr>
        <w:t xml:space="preserve">1. Principe</w:t>
      </w:r>
    </w:p>
    <w:p>
      <w:pPr>
        <w:spacing w:after="120"/>
      </w:pPr>
      <w:r>
        <w:t xml:space="preserve">Tous les mouvements de stock sont journalisés dans la table append-only MOUVEMENT_STOCK. Chaque ligne porte des drapeaux booléens de dimension (AffecteStock, AffecteTheorique, AffecteTransit, AffecteCoursDeRoute, AffecteIndisponible, AffecteStockZone) : chaque dimension à vrai est appliquée aux colonnes de stock correspondantes par un "applier" en base. Des triggers posés sur les tables métier (ventes, retours, réceptions, corrections, transferts, blocages…) postent ces lignes. Le stock n'est donc plus calculé en PHP dans les flux quotidiens ; seuls le recompute autoritaire PG_Actualise_STOCKS et les outils d'import/seed écrivent encore directement.</w:t>
      </w:r>
    </w:p>
    <w:p>
      <w:pPr>
        <w:spacing w:after="140"/>
      </w:pPr>
      <w:r>
        <w:rPr>
          <w:b/>
          <w:color w:val="1F4E79"/>
          <w:sz w:val="30"/>
          <w:szCs w:val="30"/>
        </w:rPr>
        <w:t xml:space="preserve">2. Les dimensions de stock</w:t>
      </w:r>
    </w:p>
    <w:tbl>
      <w:tblPr>
        <w:tblW w:w="9100" w:type="dxa"/>
        <w:tblBorders>
          <w:top w:val="single" w:sz="4" w:space="0" w:color="AAAAAA"/>
          <w:left w:val="single" w:sz="4" w:space="0" w:color="AAAAAA"/>
          <w:bottom w:val="single" w:sz="4" w:space="0" w:color="AAAAAA"/>
          <w:right w:val="single" w:sz="4" w:space="0" w:color="AAAAAA"/>
          <w:insideH w:val="single" w:sz="4" w:space="0" w:color="AAAAAA"/>
          <w:insideV w:val="single" w:sz="4" w:space="0" w:color="AAAAAA"/>
        </w:tblBorders>
        <w:tblLook w:val="04A0" w:firstRow="1" w:lastRow="0" w:firstColumn="1" w:lastColumn="0" w:noHBand="0" w:noVBand="1"/>
      </w:tblPr>
      <w:tblGrid>
        <w:gridCol w:w="2100"/>
        <w:gridCol w:w="4400"/>
        <w:gridCol w:w="2600"/>
      </w:tblGrid>
      <w:tr>
        <w:tc>
          <w:tcPr>
            <w:tcW w:w="2100" w:type="dxa"/>
            <w:shd w:val="clear" w:color="auto" w:fill="D9E2F3"/>
            <w:vAlign w:val="center"/>
          </w:tcPr>
          <w:p>
            <w:pPr>
              <w:spacing w:after="20"/>
            </w:pPr>
            <w:r>
              <w:rPr>
                <w:b/>
              </w:rPr>
              <w:t xml:space="preserve">Dimension (drapeau)</w:t>
            </w:r>
          </w:p>
        </w:tc>
        <w:tc>
          <w:tcPr>
            <w:tcW w:w="4400" w:type="dxa"/>
            <w:shd w:val="clear" w:color="auto" w:fill="D9E2F3"/>
            <w:vAlign w:val="center"/>
          </w:tcPr>
          <w:p>
            <w:pPr>
              <w:spacing w:after="20"/>
            </w:pPr>
            <w:r>
              <w:rPr>
                <w:b/>
              </w:rPr>
              <w:t xml:space="preserve">Colonnes physiques mises à jour</w:t>
            </w:r>
          </w:p>
        </w:tc>
        <w:tc>
          <w:tcPr>
            <w:tcW w:w="2600" w:type="dxa"/>
            <w:shd w:val="clear" w:color="auto" w:fill="D9E2F3"/>
            <w:vAlign w:val="center"/>
          </w:tcPr>
          <w:p>
            <w:pPr>
              <w:spacing w:after="20"/>
            </w:pPr>
            <w:r>
              <w:rPr>
                <w:b/>
              </w:rPr>
              <w:t xml:space="preserve">Applier en base</w:t>
            </w:r>
          </w:p>
        </w:tc>
      </w:tr>
      <w:tr>
        <w:tc>
          <w:tcPr>
            <w:tcW w:w="2100" w:type="dxa"/>
            <w:vAlign w:val="center"/>
          </w:tcPr>
          <w:p>
            <w:pPr>
              <w:spacing w:after="20"/>
            </w:pPr>
            <w:r>
              <w:rPr>
                <w:b/>
              </w:rPr>
              <w:t xml:space="preserve">STOCK (AffecteStock)</w:t>
            </w:r>
          </w:p>
        </w:tc>
        <w:tc>
          <w:tcPr>
            <w:tcW w:w="4400" w:type="dxa"/>
            <w:vAlign w:val="center"/>
          </w:tcPr>
          <w:p>
            <w:pPr>
              <w:spacing w:after="20"/>
            </w:pPr>
            <w:r>
              <w:t xml:space="preserve">StockTotal (agence) + StockTotal_Lot (lot) + StockZoneStockage (zone). Ajoute StockTotalTheorique si p_affecte_theorique = vrai (défaut).</w:t>
            </w:r>
          </w:p>
        </w:tc>
        <w:tc>
          <w:tcPr>
            <w:tcW w:w="2600" w:type="dxa"/>
            <w:vAlign w:val="center"/>
          </w:tcPr>
          <w:p>
            <w:pPr>
              <w:spacing w:after="20"/>
            </w:pPr>
            <w:r>
              <w:t xml:space="preserve">sp_appliquer_mouvement_lot (+ théorique agence)</w:t>
            </w:r>
          </w:p>
        </w:tc>
      </w:tr>
      <w:tr>
        <w:tc>
          <w:tcPr>
            <w:tcW w:w="2100" w:type="dxa"/>
            <w:vAlign w:val="center"/>
          </w:tcPr>
          <w:p>
            <w:pPr>
              <w:spacing w:after="20"/>
            </w:pPr>
            <w:r>
              <w:rPr>
                <w:b/>
              </w:rPr>
              <w:t xml:space="preserve">THÉORIQUE (AffecteTheorique)</w:t>
            </w:r>
          </w:p>
        </w:tc>
        <w:tc>
          <w:tcPr>
            <w:tcW w:w="4400" w:type="dxa"/>
            <w:vAlign w:val="center"/>
          </w:tcPr>
          <w:p>
            <w:pPr>
              <w:spacing w:after="20"/>
            </w:pPr>
            <w:r>
              <w:t xml:space="preserve">StockTotalTheorique (+ StockIndisponibleTheo pour les réservations).</w:t>
            </w:r>
          </w:p>
        </w:tc>
        <w:tc>
          <w:tcPr>
            <w:tcW w:w="2600" w:type="dxa"/>
            <w:vAlign w:val="center"/>
          </w:tcPr>
          <w:p>
            <w:pPr>
              <w:spacing w:after="20"/>
            </w:pPr>
            <w:r>
              <w:t xml:space="preserve">sp_appliquer_theorique_agence / sp_appliquer_reservation_theorique</w:t>
            </w:r>
          </w:p>
        </w:tc>
      </w:tr>
      <w:tr>
        <w:tc>
          <w:tcPr>
            <w:tcW w:w="2100" w:type="dxa"/>
            <w:vAlign w:val="center"/>
          </w:tcPr>
          <w:p>
            <w:pPr>
              <w:spacing w:after="20"/>
            </w:pPr>
            <w:r>
              <w:rPr>
                <w:b/>
              </w:rPr>
              <w:t xml:space="preserve">TRANSIT (AffecteTransit)</w:t>
            </w:r>
          </w:p>
        </w:tc>
        <w:tc>
          <w:tcPr>
            <w:tcW w:w="4400" w:type="dxa"/>
            <w:vAlign w:val="center"/>
          </w:tcPr>
          <w:p>
            <w:pPr>
              <w:spacing w:after="20"/>
            </w:pPr>
            <w:r>
              <w:t xml:space="preserve">StockTransitTIZ (lot).</w:t>
            </w:r>
          </w:p>
        </w:tc>
        <w:tc>
          <w:tcPr>
            <w:tcW w:w="2600" w:type="dxa"/>
            <w:vAlign w:val="center"/>
          </w:tcPr>
          <w:p>
            <w:pPr>
              <w:spacing w:after="20"/>
            </w:pPr>
            <w:r>
              <w:t xml:space="preserve">sp_appliquer_transit_lot</w:t>
            </w:r>
          </w:p>
        </w:tc>
      </w:tr>
      <w:tr>
        <w:tc>
          <w:tcPr>
            <w:tcW w:w="2100" w:type="dxa"/>
            <w:vAlign w:val="center"/>
          </w:tcPr>
          <w:p>
            <w:pPr>
              <w:spacing w:after="20"/>
            </w:pPr>
            <w:r>
              <w:rPr>
                <w:b/>
              </w:rPr>
              <w:t xml:space="preserve">COURS DE ROUTE (AffecteCoursDeRoute)</w:t>
            </w:r>
          </w:p>
        </w:tc>
        <w:tc>
          <w:tcPr>
            <w:tcW w:w="4400" w:type="dxa"/>
            <w:vAlign w:val="center"/>
          </w:tcPr>
          <w:p>
            <w:pPr>
              <w:spacing w:after="20"/>
            </w:pPr>
            <w:r>
              <w:t xml:space="preserve">QtecoursDeRoute_Lot (lot).</w:t>
            </w:r>
          </w:p>
        </w:tc>
        <w:tc>
          <w:tcPr>
            <w:tcW w:w="2600" w:type="dxa"/>
            <w:vAlign w:val="center"/>
          </w:tcPr>
          <w:p>
            <w:pPr>
              <w:spacing w:after="20"/>
            </w:pPr>
            <w:r>
              <w:t xml:space="preserve">sp_appliquer_cours_de_route_lot</w:t>
            </w:r>
          </w:p>
        </w:tc>
      </w:tr>
      <w:tr>
        <w:tc>
          <w:tcPr>
            <w:tcW w:w="2100" w:type="dxa"/>
            <w:vAlign w:val="center"/>
          </w:tcPr>
          <w:p>
            <w:pPr>
              <w:spacing w:after="20"/>
            </w:pPr>
            <w:r>
              <w:rPr>
                <w:b/>
              </w:rPr>
              <w:t xml:space="preserve">INDISPONIBLE (AffecteIndisponible)</w:t>
            </w:r>
          </w:p>
        </w:tc>
        <w:tc>
          <w:tcPr>
            <w:tcW w:w="4400" w:type="dxa"/>
            <w:vAlign w:val="center"/>
          </w:tcPr>
          <w:p>
            <w:pPr>
              <w:spacing w:after="20"/>
            </w:pPr>
            <w:r>
              <w:t xml:space="preserve">StockLotIndisponible (lot) + StockIndisponible (agence), ou StockIndisponible agence seule.</w:t>
            </w:r>
          </w:p>
        </w:tc>
        <w:tc>
          <w:tcPr>
            <w:tcW w:w="2600" w:type="dxa"/>
            <w:vAlign w:val="center"/>
          </w:tcPr>
          <w:p>
            <w:pPr>
              <w:spacing w:after="20"/>
            </w:pPr>
            <w:r>
              <w:t xml:space="preserve">sp_appliquer_indisponible_lot / sp_appliquer_indisponible_agence</w:t>
            </w:r>
          </w:p>
        </w:tc>
      </w:tr>
      <w:tr>
        <w:tc>
          <w:tcPr>
            <w:tcW w:w="2100" w:type="dxa"/>
            <w:vAlign w:val="center"/>
          </w:tcPr>
          <w:p>
            <w:pPr>
              <w:spacing w:after="20"/>
            </w:pPr>
            <w:r>
              <w:rPr>
                <w:b/>
              </w:rPr>
              <w:t xml:space="preserve">STOCK ZONE (AffecteStockZone)</w:t>
            </w:r>
          </w:p>
        </w:tc>
        <w:tc>
          <w:tcPr>
            <w:tcW w:w="4400" w:type="dxa"/>
            <w:vAlign w:val="center"/>
          </w:tcPr>
          <w:p>
            <w:pPr>
              <w:spacing w:after="20"/>
            </w:pPr>
            <w:r>
              <w:t xml:space="preserve">StockTotal_Lot (lot) + StockZoneStockage (zone). SANS StockTotal agence, SANS théorique.</w:t>
            </w:r>
          </w:p>
        </w:tc>
        <w:tc>
          <w:tcPr>
            <w:tcW w:w="2600" w:type="dxa"/>
            <w:vAlign w:val="center"/>
          </w:tcPr>
          <w:p>
            <w:pPr>
              <w:spacing w:after="20"/>
            </w:pPr>
            <w:r>
              <w:t xml:space="preserve">sp_appliquer_stock_lot_zone</w:t>
            </w:r>
          </w:p>
        </w:tc>
      </w:tr>
    </w:tbl>
    <w:p>
      <w:pPr>
        <w:spacing w:after="80"/>
      </w:pPr>
      <w:r>
        <w:t xml:space="preserve"/>
      </w:r>
    </w:p>
    <w:p>
      <w:pPr>
        <w:spacing w:after="140"/>
      </w:pPr>
      <w:r>
        <w:rPr>
          <w:b/>
          <w:color w:val="1F4E79"/>
          <w:sz w:val="30"/>
          <w:szCs w:val="30"/>
        </w:rPr>
        <w:t xml:space="preserve">3. Les opérations et leurs dimensions</w:t>
      </w:r>
    </w:p>
    <w:tbl>
      <w:tblPr>
        <w:tblW w:w="9100" w:type="dxa"/>
        <w:tblBorders>
          <w:top w:val="single" w:sz="4" w:space="0" w:color="AAAAAA"/>
          <w:left w:val="single" w:sz="4" w:space="0" w:color="AAAAAA"/>
          <w:bottom w:val="single" w:sz="4" w:space="0" w:color="AAAAAA"/>
          <w:right w:val="single" w:sz="4" w:space="0" w:color="AAAAAA"/>
          <w:insideH w:val="single" w:sz="4" w:space="0" w:color="AAAAAA"/>
          <w:insideV w:val="single" w:sz="4" w:space="0" w:color="AAAAAA"/>
        </w:tblBorders>
        <w:tblLook w:val="04A0" w:firstRow="1" w:lastRow="0" w:firstColumn="1" w:lastColumn="0" w:noHBand="0" w:noVBand="1"/>
      </w:tblPr>
      <w:tblGrid>
        <w:gridCol w:w="2500"/>
        <w:gridCol w:w="2900"/>
        <w:gridCol w:w="2000"/>
        <w:gridCol w:w="1700"/>
      </w:tblGrid>
      <w:tr>
        <w:tc>
          <w:tcPr>
            <w:tcW w:w="2500" w:type="dxa"/>
            <w:shd w:val="clear" w:color="auto" w:fill="D9E2F3"/>
            <w:vAlign w:val="center"/>
          </w:tcPr>
          <w:p>
            <w:pPr>
              <w:spacing w:after="20"/>
            </w:pPr>
            <w:r>
              <w:rPr>
                <w:b/>
              </w:rPr>
              <w:t xml:space="preserve">Opération</w:t>
            </w:r>
          </w:p>
        </w:tc>
        <w:tc>
          <w:tcPr>
            <w:tcW w:w="2900" w:type="dxa"/>
            <w:shd w:val="clear" w:color="auto" w:fill="D9E2F3"/>
            <w:vAlign w:val="center"/>
          </w:tcPr>
          <w:p>
            <w:pPr>
              <w:spacing w:after="20"/>
            </w:pPr>
            <w:r>
              <w:rPr>
                <w:b/>
              </w:rPr>
              <w:t xml:space="preserve">Déclencheur (table → fonction)</w:t>
            </w:r>
          </w:p>
        </w:tc>
        <w:tc>
          <w:tcPr>
            <w:tcW w:w="2000" w:type="dxa"/>
            <w:shd w:val="clear" w:color="auto" w:fill="D9E2F3"/>
            <w:vAlign w:val="center"/>
          </w:tcPr>
          <w:p>
            <w:pPr>
              <w:spacing w:after="20"/>
            </w:pPr>
            <w:r>
              <w:rPr>
                <w:b/>
              </w:rPr>
              <w:t xml:space="preserve">Dimensions</w:t>
            </w:r>
          </w:p>
        </w:tc>
        <w:tc>
          <w:tcPr>
            <w:tcW w:w="1700" w:type="dxa"/>
            <w:shd w:val="clear" w:color="auto" w:fill="D9E2F3"/>
            <w:vAlign w:val="center"/>
          </w:tcPr>
          <w:p>
            <w:pPr>
              <w:spacing w:after="20"/>
            </w:pPr>
            <w:r>
              <w:rPr>
                <w:b/>
              </w:rPr>
              <w:t xml:space="preserve">Sens / remarques</w:t>
            </w:r>
          </w:p>
        </w:tc>
      </w:tr>
      <w:tr>
        <w:tc>
          <w:tcPr>
            <w:tcW w:w="2500" w:type="dxa"/>
            <w:vAlign w:val="center"/>
          </w:tcPr>
          <w:p>
            <w:pPr>
              <w:spacing w:after="20"/>
            </w:pPr>
            <w:r>
              <w:rPr>
                <w:b/>
              </w:rPr>
              <w:t xml:space="preserve">Vente / Facturation</w:t>
            </w:r>
          </w:p>
        </w:tc>
        <w:tc>
          <w:tcPr>
            <w:tcW w:w="2900" w:type="dxa"/>
            <w:vAlign w:val="center"/>
          </w:tcPr>
          <w:p>
            <w:pPr>
              <w:spacing w:after="20"/>
            </w:pPr>
            <w:r>
              <w:t xml:space="preserve">FACTURECLIENT_LIGNE → sp_stock_factureclient_ligne</w:t>
            </w:r>
          </w:p>
        </w:tc>
        <w:tc>
          <w:tcPr>
            <w:tcW w:w="2000" w:type="dxa"/>
            <w:vAlign w:val="center"/>
          </w:tcPr>
          <w:p>
            <w:pPr>
              <w:spacing w:after="20"/>
            </w:pPr>
            <w:r>
              <w:rPr>
                <w:b/>
              </w:rPr>
              <w:t xml:space="preserve">STOCK (−) + THÉORIQUE*</w:t>
            </w:r>
          </w:p>
        </w:tc>
        <w:tc>
          <w:tcPr>
            <w:tcW w:w="1700" w:type="dxa"/>
            <w:vAlign w:val="center"/>
          </w:tcPr>
          <w:p>
            <w:pPr>
              <w:spacing w:after="20"/>
            </w:pPr>
            <w:r>
              <w:t xml:space="preserve">Sortie. Théorique conditionnel (préparation différée). Indicateur "stock bloqué" si vente sur stock indisponible.</w:t>
            </w:r>
          </w:p>
        </w:tc>
      </w:tr>
      <w:tr>
        <w:tc>
          <w:tcPr>
            <w:tcW w:w="2500" w:type="dxa"/>
            <w:vAlign w:val="center"/>
          </w:tcPr>
          <w:p>
            <w:pPr>
              <w:spacing w:after="20"/>
            </w:pPr>
            <w:r>
              <w:rPr>
                <w:b/>
              </w:rPr>
              <w:t xml:space="preserve">Vente — préparation différée</w:t>
            </w:r>
          </w:p>
        </w:tc>
        <w:tc>
          <w:tcPr>
            <w:tcW w:w="2900" w:type="dxa"/>
            <w:vAlign w:val="center"/>
          </w:tcPr>
          <w:p>
            <w:pPr>
              <w:spacing w:after="20"/>
            </w:pPr>
            <w:r>
              <w:t xml:space="preserve">FACTURECLIENT_LIGNE → sp_theorique_prepdiff_facture</w:t>
            </w:r>
          </w:p>
        </w:tc>
        <w:tc>
          <w:tcPr>
            <w:tcW w:w="2000" w:type="dxa"/>
            <w:vAlign w:val="center"/>
          </w:tcPr>
          <w:p>
            <w:pPr>
              <w:spacing w:after="20"/>
            </w:pPr>
            <w:r>
              <w:rPr>
                <w:b/>
              </w:rPr>
              <w:t xml:space="preserve">THÉORIQUE</w:t>
            </w:r>
          </w:p>
        </w:tc>
        <w:tc>
          <w:tcPr>
            <w:tcW w:w="1700" w:type="dxa"/>
            <w:vAlign w:val="center"/>
          </w:tcPr>
          <w:p>
            <w:pPr>
              <w:spacing w:after="20"/>
            </w:pPr>
            <w:r>
              <w:t xml:space="preserve">Réservation théorique de la préparation.</w:t>
            </w:r>
          </w:p>
        </w:tc>
      </w:tr>
      <w:tr>
        <w:tc>
          <w:tcPr>
            <w:tcW w:w="2500" w:type="dxa"/>
            <w:vAlign w:val="center"/>
          </w:tcPr>
          <w:p>
            <w:pPr>
              <w:spacing w:after="20"/>
            </w:pPr>
            <w:r>
              <w:rPr>
                <w:b/>
              </w:rPr>
              <w:t xml:space="preserve">Retour client</w:t>
            </w:r>
          </w:p>
        </w:tc>
        <w:tc>
          <w:tcPr>
            <w:tcW w:w="2900" w:type="dxa"/>
            <w:vAlign w:val="center"/>
          </w:tcPr>
          <w:p>
            <w:pPr>
              <w:spacing w:after="20"/>
            </w:pPr>
            <w:r>
              <w:t xml:space="preserve">RETOURCLIENT_LIGNE → sp_stock_retourclient_ligne</w:t>
            </w:r>
          </w:p>
        </w:tc>
        <w:tc>
          <w:tcPr>
            <w:tcW w:w="2000" w:type="dxa"/>
            <w:vAlign w:val="center"/>
          </w:tcPr>
          <w:p>
            <w:pPr>
              <w:spacing w:after="20"/>
            </w:pPr>
            <w:r>
              <w:rPr>
                <w:b/>
              </w:rPr>
              <w:t xml:space="preserve">STOCK (+) + THÉORIQUE</w:t>
            </w:r>
          </w:p>
        </w:tc>
        <w:tc>
          <w:tcPr>
            <w:tcW w:w="1700" w:type="dxa"/>
            <w:vAlign w:val="center"/>
          </w:tcPr>
          <w:p>
            <w:pPr>
              <w:spacing w:after="20"/>
            </w:pPr>
            <w:r>
              <w:t xml:space="preserve">Entrée en stock.</w:t>
            </w:r>
          </w:p>
        </w:tc>
      </w:tr>
      <w:tr>
        <w:tc>
          <w:tcPr>
            <w:tcW w:w="2500" w:type="dxa"/>
            <w:vAlign w:val="center"/>
          </w:tcPr>
          <w:p>
            <w:pPr>
              <w:spacing w:after="20"/>
            </w:pPr>
            <w:r>
              <w:rPr>
                <w:b/>
              </w:rPr>
              <w:t xml:space="preserve">Retour fournisseur</w:t>
            </w:r>
          </w:p>
        </w:tc>
        <w:tc>
          <w:tcPr>
            <w:tcW w:w="2900" w:type="dxa"/>
            <w:vAlign w:val="center"/>
          </w:tcPr>
          <w:p>
            <w:pPr>
              <w:spacing w:after="20"/>
            </w:pPr>
            <w:r>
              <w:t xml:space="preserve">RETOURFSEUR_LIGNE → sp_stock_retourfseur_ligne</w:t>
            </w:r>
          </w:p>
        </w:tc>
        <w:tc>
          <w:tcPr>
            <w:tcW w:w="2000" w:type="dxa"/>
            <w:vAlign w:val="center"/>
          </w:tcPr>
          <w:p>
            <w:pPr>
              <w:spacing w:after="20"/>
            </w:pPr>
            <w:r>
              <w:rPr>
                <w:b/>
                <w:color w:val="C00000"/>
              </w:rPr>
              <w:t xml:space="preserve">AUCUN</w:t>
            </w:r>
          </w:p>
        </w:tc>
        <w:tc>
          <w:tcPr>
            <w:tcW w:w="1700" w:type="dxa"/>
            <w:vAlign w:val="center"/>
          </w:tcPr>
          <w:p>
            <w:pPr>
              <w:spacing w:after="20"/>
            </w:pPr>
            <w:r>
              <w:t xml:space="preserve">Aucun impact stock : document comptable / réclamation (Option B).</w:t>
            </w:r>
          </w:p>
        </w:tc>
      </w:tr>
      <w:tr>
        <w:tc>
          <w:tcPr>
            <w:tcW w:w="2500" w:type="dxa"/>
            <w:vAlign w:val="center"/>
          </w:tcPr>
          <w:p>
            <w:pPr>
              <w:spacing w:after="20"/>
            </w:pPr>
            <w:r>
              <w:rPr>
                <w:b/>
              </w:rPr>
              <w:t xml:space="preserve">Réception marchandise</w:t>
            </w:r>
          </w:p>
        </w:tc>
        <w:tc>
          <w:tcPr>
            <w:tcW w:w="2900" w:type="dxa"/>
            <w:vAlign w:val="center"/>
          </w:tcPr>
          <w:p>
            <w:pPr>
              <w:spacing w:after="20"/>
            </w:pPr>
            <w:r>
              <w:t xml:space="preserve">BONLIVRAISONLIGNE → sp_stock_bonlivraisonligne</w:t>
            </w:r>
          </w:p>
        </w:tc>
        <w:tc>
          <w:tcPr>
            <w:tcW w:w="2000" w:type="dxa"/>
            <w:vAlign w:val="center"/>
          </w:tcPr>
          <w:p>
            <w:pPr>
              <w:spacing w:after="20"/>
            </w:pPr>
            <w:r>
              <w:rPr>
                <w:b/>
              </w:rPr>
              <w:t xml:space="preserve">STOCK (+) + THÉORIQUE</w:t>
            </w:r>
          </w:p>
        </w:tc>
        <w:tc>
          <w:tcPr>
            <w:tcW w:w="1700" w:type="dxa"/>
            <w:vAlign w:val="center"/>
          </w:tcPr>
          <w:p>
            <w:pPr>
              <w:spacing w:after="20"/>
            </w:pPr>
            <w:r>
              <w:t xml:space="preserve">Entrée à l'affectation du lot à la ligne.</w:t>
            </w:r>
          </w:p>
        </w:tc>
      </w:tr>
      <w:tr>
        <w:tc>
          <w:tcPr>
            <w:tcW w:w="2500" w:type="dxa"/>
            <w:vAlign w:val="center"/>
          </w:tcPr>
          <w:p>
            <w:pPr>
              <w:spacing w:after="20"/>
            </w:pPr>
            <w:r>
              <w:rPr>
                <w:b/>
              </w:rPr>
              <w:t xml:space="preserve">Réception — cours de route</w:t>
            </w:r>
          </w:p>
        </w:tc>
        <w:tc>
          <w:tcPr>
            <w:tcW w:w="2900" w:type="dxa"/>
            <w:vAlign w:val="center"/>
          </w:tcPr>
          <w:p>
            <w:pPr>
              <w:spacing w:after="20"/>
            </w:pPr>
            <w:r>
              <w:t xml:space="preserve">BONLIVRAISONLIGNE → sp_cr_bl_ligne → sp_cr_post</w:t>
            </w:r>
          </w:p>
        </w:tc>
        <w:tc>
          <w:tcPr>
            <w:tcW w:w="2000" w:type="dxa"/>
            <w:vAlign w:val="center"/>
          </w:tcPr>
          <w:p>
            <w:pPr>
              <w:spacing w:after="20"/>
            </w:pPr>
            <w:r>
              <w:rPr>
                <w:b/>
              </w:rPr>
              <w:t xml:space="preserve">COURS DE ROUTE (produit)</w:t>
            </w:r>
          </w:p>
        </w:tc>
        <w:tc>
          <w:tcPr>
            <w:tcW w:w="1700" w:type="dxa"/>
            <w:vAlign w:val="center"/>
          </w:tcPr>
          <w:p>
            <w:pPr>
              <w:spacing w:after="20"/>
            </w:pPr>
            <w:r>
              <w:t xml:space="preserve">Met à jour PRODUIT.QuantiteCoursRouteProduit (pipeline commande→réception).</w:t>
            </w:r>
          </w:p>
        </w:tc>
      </w:tr>
      <w:tr>
        <w:tc>
          <w:tcPr>
            <w:tcW w:w="2500" w:type="dxa"/>
            <w:vAlign w:val="center"/>
          </w:tcPr>
          <w:p>
            <w:pPr>
              <w:spacing w:after="20"/>
            </w:pPr>
            <w:r>
              <w:rPr>
                <w:b/>
              </w:rPr>
              <w:t xml:space="preserve">Correction de stock</w:t>
            </w:r>
          </w:p>
        </w:tc>
        <w:tc>
          <w:tcPr>
            <w:tcW w:w="2900" w:type="dxa"/>
            <w:vAlign w:val="center"/>
          </w:tcPr>
          <w:p>
            <w:pPr>
              <w:spacing w:after="20"/>
            </w:pPr>
            <w:r>
              <w:t xml:space="preserve">CORRECTION_LIGNE → sp_stock_correction_ligne</w:t>
            </w:r>
          </w:p>
        </w:tc>
        <w:tc>
          <w:tcPr>
            <w:tcW w:w="2000" w:type="dxa"/>
            <w:vAlign w:val="center"/>
          </w:tcPr>
          <w:p>
            <w:pPr>
              <w:spacing w:after="20"/>
            </w:pPr>
            <w:r>
              <w:rPr>
                <w:b/>
              </w:rPr>
              <w:t xml:space="preserve">STOCK (±) + THÉORIQUE</w:t>
            </w:r>
          </w:p>
        </w:tc>
        <w:tc>
          <w:tcPr>
            <w:tcW w:w="1700" w:type="dxa"/>
            <w:vAlign w:val="center"/>
          </w:tcPr>
          <w:p>
            <w:pPr>
              <w:spacing w:after="20"/>
            </w:pPr>
            <w:r>
              <w:t xml:space="preserve">Écart d'inventaire / correction manuelle.</w:t>
            </w:r>
          </w:p>
        </w:tc>
      </w:tr>
      <w:tr>
        <w:tc>
          <w:tcPr>
            <w:tcW w:w="2500" w:type="dxa"/>
            <w:vAlign w:val="center"/>
          </w:tcPr>
          <w:p>
            <w:pPr>
              <w:spacing w:after="20"/>
            </w:pPr>
            <w:r>
              <w:rPr>
                <w:b/>
              </w:rPr>
              <w:t xml:space="preserve">Transfert inter-site — collecte</w:t>
            </w:r>
          </w:p>
        </w:tc>
        <w:tc>
          <w:tcPr>
            <w:tcW w:w="2900" w:type="dxa"/>
            <w:vAlign w:val="center"/>
          </w:tcPr>
          <w:p>
            <w:pPr>
              <w:spacing w:after="20"/>
            </w:pPr>
            <w:r>
              <w:t xml:space="preserve">TRANSFERT_SITE_LIGNE (CollecteePar) → sp_stock_transfert_inter_site</w:t>
            </w:r>
          </w:p>
        </w:tc>
        <w:tc>
          <w:tcPr>
            <w:tcW w:w="2000" w:type="dxa"/>
            <w:vAlign w:val="center"/>
          </w:tcPr>
          <w:p>
            <w:pPr>
              <w:spacing w:after="20"/>
            </w:pPr>
            <w:r>
              <w:rPr>
                <w:b/>
              </w:rPr>
              <w:t xml:space="preserve">STOCK (−) + THÉORIQUE</w:t>
            </w:r>
          </w:p>
        </w:tc>
        <w:tc>
          <w:tcPr>
            <w:tcW w:w="1700" w:type="dxa"/>
            <w:vAlign w:val="center"/>
          </w:tcPr>
          <w:p>
            <w:pPr>
              <w:spacing w:after="20"/>
            </w:pPr>
            <w:r>
              <w:t xml:space="preserve">Sortie du site source à la collecte.</w:t>
            </w:r>
          </w:p>
        </w:tc>
      </w:tr>
      <w:tr>
        <w:tc>
          <w:tcPr>
            <w:tcW w:w="2500" w:type="dxa"/>
            <w:vAlign w:val="center"/>
          </w:tcPr>
          <w:p>
            <w:pPr>
              <w:spacing w:after="20"/>
            </w:pPr>
            <w:r>
              <w:rPr>
                <w:b/>
              </w:rPr>
              <w:t xml:space="preserve">Transfert inter-site — cours de route</w:t>
            </w:r>
          </w:p>
        </w:tc>
        <w:tc>
          <w:tcPr>
            <w:tcW w:w="2900" w:type="dxa"/>
            <w:vAlign w:val="center"/>
          </w:tcPr>
          <w:p>
            <w:pPr>
              <w:spacing w:after="20"/>
            </w:pPr>
            <w:r>
              <w:t xml:space="preserve">TRANSFERT_SITE_LIGNE → sp_stock_transfert_inter_site</w:t>
            </w:r>
          </w:p>
        </w:tc>
        <w:tc>
          <w:tcPr>
            <w:tcW w:w="2000" w:type="dxa"/>
            <w:vAlign w:val="center"/>
          </w:tcPr>
          <w:p>
            <w:pPr>
              <w:spacing w:after="20"/>
            </w:pPr>
            <w:r>
              <w:rPr>
                <w:b/>
              </w:rPr>
              <w:t xml:space="preserve">COURS DE ROUTE</w:t>
            </w:r>
          </w:p>
        </w:tc>
        <w:tc>
          <w:tcPr>
            <w:tcW w:w="1700" w:type="dxa"/>
            <w:vAlign w:val="center"/>
          </w:tcPr>
          <w:p>
            <w:pPr>
              <w:spacing w:after="20"/>
            </w:pPr>
            <w:r>
              <w:t xml:space="preserve">Quantité en transit vers le site destination (lot).</w:t>
            </w:r>
          </w:p>
        </w:tc>
      </w:tr>
      <w:tr>
        <w:tc>
          <w:tcPr>
            <w:tcW w:w="2500" w:type="dxa"/>
            <w:vAlign w:val="center"/>
          </w:tcPr>
          <w:p>
            <w:pPr>
              <w:spacing w:after="20"/>
            </w:pPr>
            <w:r>
              <w:rPr>
                <w:b/>
              </w:rPr>
              <w:t xml:space="preserve">Transfert inter-site — rangement</w:t>
            </w:r>
          </w:p>
        </w:tc>
        <w:tc>
          <w:tcPr>
            <w:tcW w:w="2900" w:type="dxa"/>
            <w:vAlign w:val="center"/>
          </w:tcPr>
          <w:p>
            <w:pPr>
              <w:spacing w:after="20"/>
            </w:pPr>
            <w:r>
              <w:t xml:space="preserve">TRANSFERT_SITE_LIGNE (RangePar) → sp_stock_transfert_inter_site</w:t>
            </w:r>
          </w:p>
        </w:tc>
        <w:tc>
          <w:tcPr>
            <w:tcW w:w="2000" w:type="dxa"/>
            <w:vAlign w:val="center"/>
          </w:tcPr>
          <w:p>
            <w:pPr>
              <w:spacing w:after="20"/>
            </w:pPr>
            <w:r>
              <w:rPr>
                <w:b/>
              </w:rPr>
              <w:t xml:space="preserve">STOCK (+)</w:t>
            </w:r>
          </w:p>
        </w:tc>
        <w:tc>
          <w:tcPr>
            <w:tcW w:w="1700" w:type="dxa"/>
            <w:vAlign w:val="center"/>
          </w:tcPr>
          <w:p>
            <w:pPr>
              <w:spacing w:after="20"/>
            </w:pPr>
            <w:r>
              <w:t xml:space="preserve">Entrée au site destination lors du rangement.</w:t>
            </w:r>
          </w:p>
        </w:tc>
      </w:tr>
      <w:tr>
        <w:tc>
          <w:tcPr>
            <w:tcW w:w="2500" w:type="dxa"/>
            <w:vAlign w:val="center"/>
          </w:tcPr>
          <w:p>
            <w:pPr>
              <w:spacing w:after="20"/>
            </w:pPr>
            <w:r>
              <w:rPr>
                <w:b/>
              </w:rPr>
              <w:t xml:space="preserve">Transfert inter-site — réservation théorique</w:t>
            </w:r>
          </w:p>
        </w:tc>
        <w:tc>
          <w:tcPr>
            <w:tcW w:w="2900" w:type="dxa"/>
            <w:vAlign w:val="center"/>
          </w:tcPr>
          <w:p>
            <w:pPr>
              <w:spacing w:after="20"/>
            </w:pPr>
            <w:r>
              <w:t xml:space="preserve">TRANSFERT_SITE / _LIGNE → sp_theorique_transfert_site(_ligne)</w:t>
            </w:r>
          </w:p>
        </w:tc>
        <w:tc>
          <w:tcPr>
            <w:tcW w:w="2000" w:type="dxa"/>
            <w:vAlign w:val="center"/>
          </w:tcPr>
          <w:p>
            <w:pPr>
              <w:spacing w:after="20"/>
            </w:pPr>
            <w:r>
              <w:rPr>
                <w:b/>
              </w:rPr>
              <w:t xml:space="preserve">THÉORIQUE</w:t>
            </w:r>
          </w:p>
        </w:tc>
        <w:tc>
          <w:tcPr>
            <w:tcW w:w="1700" w:type="dxa"/>
            <w:vAlign w:val="center"/>
          </w:tcPr>
          <w:p>
            <w:pPr>
              <w:spacing w:after="20"/>
            </w:pPr>
            <w:r>
              <w:t xml:space="preserve">Réservation "à collecter" côté source jusqu'à la collecte.</w:t>
            </w:r>
          </w:p>
        </w:tc>
      </w:tr>
      <w:tr>
        <w:tc>
          <w:tcPr>
            <w:tcW w:w="2500" w:type="dxa"/>
            <w:vAlign w:val="center"/>
          </w:tcPr>
          <w:p>
            <w:pPr>
              <w:spacing w:after="20"/>
            </w:pPr>
            <w:r>
              <w:rPr>
                <w:b/>
              </w:rPr>
              <w:t xml:space="preserve">Transfert inter-zone — départ</w:t>
            </w:r>
          </w:p>
        </w:tc>
        <w:tc>
          <w:tcPr>
            <w:tcW w:w="2900" w:type="dxa"/>
            <w:vAlign w:val="center"/>
          </w:tcPr>
          <w:p>
            <w:pPr>
              <w:spacing w:after="20"/>
            </w:pPr>
            <w:r>
              <w:t xml:space="preserve">TRANSFERT_INTER_ZONE (statut ≥ 2) → sp_stock_transfert_inter_zone</w:t>
            </w:r>
          </w:p>
        </w:tc>
        <w:tc>
          <w:tcPr>
            <w:tcW w:w="2000" w:type="dxa"/>
            <w:vAlign w:val="center"/>
          </w:tcPr>
          <w:p>
            <w:pPr>
              <w:spacing w:after="20"/>
            </w:pPr>
            <w:r>
              <w:rPr>
                <w:b/>
              </w:rPr>
              <w:t xml:space="preserve">STOCK ZONE (−)</w:t>
            </w:r>
          </w:p>
        </w:tc>
        <w:tc>
          <w:tcPr>
            <w:tcW w:w="1700" w:type="dxa"/>
            <w:vAlign w:val="center"/>
          </w:tcPr>
          <w:p>
            <w:pPr>
              <w:spacing w:after="20"/>
            </w:pPr>
            <w:r>
              <w:t xml:space="preserve">Lot + zone source uniquement. N'affecte PAS StockTotal agence ni théorique.</w:t>
            </w:r>
          </w:p>
        </w:tc>
      </w:tr>
      <w:tr>
        <w:tc>
          <w:tcPr>
            <w:tcW w:w="2500" w:type="dxa"/>
            <w:vAlign w:val="center"/>
          </w:tcPr>
          <w:p>
            <w:pPr>
              <w:spacing w:after="20"/>
            </w:pPr>
            <w:r>
              <w:rPr>
                <w:b/>
              </w:rPr>
              <w:t xml:space="preserve">Transfert inter-zone — transit</w:t>
            </w:r>
          </w:p>
        </w:tc>
        <w:tc>
          <w:tcPr>
            <w:tcW w:w="2900" w:type="dxa"/>
            <w:vAlign w:val="center"/>
          </w:tcPr>
          <w:p>
            <w:pPr>
              <w:spacing w:after="20"/>
            </w:pPr>
            <w:r>
              <w:t xml:space="preserve">TRANSFERT_INTER_ZONE (statut = 2)</w:t>
            </w:r>
          </w:p>
        </w:tc>
        <w:tc>
          <w:tcPr>
            <w:tcW w:w="2000" w:type="dxa"/>
            <w:vAlign w:val="center"/>
          </w:tcPr>
          <w:p>
            <w:pPr>
              <w:spacing w:after="20"/>
            </w:pPr>
            <w:r>
              <w:rPr>
                <w:b/>
              </w:rPr>
              <w:t xml:space="preserve">TRANSIT</w:t>
            </w:r>
          </w:p>
        </w:tc>
        <w:tc>
          <w:tcPr>
            <w:tcW w:w="1700" w:type="dxa"/>
            <w:vAlign w:val="center"/>
          </w:tcPr>
          <w:p>
            <w:pPr>
              <w:spacing w:after="20"/>
            </w:pPr>
            <w:r>
              <w:t xml:space="preserve">StockTransitTIZ du lot destination pendant le transit.</w:t>
            </w:r>
          </w:p>
        </w:tc>
      </w:tr>
      <w:tr>
        <w:tc>
          <w:tcPr>
            <w:tcW w:w="2500" w:type="dxa"/>
            <w:vAlign w:val="center"/>
          </w:tcPr>
          <w:p>
            <w:pPr>
              <w:spacing w:after="20"/>
            </w:pPr>
            <w:r>
              <w:rPr>
                <w:b/>
              </w:rPr>
              <w:t xml:space="preserve">Transfert inter-zone — réception</w:t>
            </w:r>
          </w:p>
        </w:tc>
        <w:tc>
          <w:tcPr>
            <w:tcW w:w="2900" w:type="dxa"/>
            <w:vAlign w:val="center"/>
          </w:tcPr>
          <w:p>
            <w:pPr>
              <w:spacing w:after="20"/>
            </w:pPr>
            <w:r>
              <w:t xml:space="preserve">TRANSFERT_INTER_ZONE (statut ≥ 3)</w:t>
            </w:r>
          </w:p>
        </w:tc>
        <w:tc>
          <w:tcPr>
            <w:tcW w:w="2000" w:type="dxa"/>
            <w:vAlign w:val="center"/>
          </w:tcPr>
          <w:p>
            <w:pPr>
              <w:spacing w:after="20"/>
            </w:pPr>
            <w:r>
              <w:rPr>
                <w:b/>
              </w:rPr>
              <w:t xml:space="preserve">STOCK ZONE (+)</w:t>
            </w:r>
          </w:p>
        </w:tc>
        <w:tc>
          <w:tcPr>
            <w:tcW w:w="1700" w:type="dxa"/>
            <w:vAlign w:val="center"/>
          </w:tcPr>
          <w:p>
            <w:pPr>
              <w:spacing w:after="20"/>
            </w:pPr>
            <w:r>
              <w:t xml:space="preserve">Lot + zone destination à la réception.</w:t>
            </w:r>
          </w:p>
        </w:tc>
      </w:tr>
      <w:tr>
        <w:tc>
          <w:tcPr>
            <w:tcW w:w="2500" w:type="dxa"/>
            <w:vAlign w:val="center"/>
          </w:tcPr>
          <w:p>
            <w:pPr>
              <w:spacing w:after="20"/>
            </w:pPr>
            <w:r>
              <w:rPr>
                <w:b/>
              </w:rPr>
              <w:t xml:space="preserve">Blocage par lot</w:t>
            </w:r>
          </w:p>
        </w:tc>
        <w:tc>
          <w:tcPr>
            <w:tcW w:w="2900" w:type="dxa"/>
            <w:vAlign w:val="center"/>
          </w:tcPr>
          <w:p>
            <w:pPr>
              <w:spacing w:after="20"/>
            </w:pPr>
            <w:r>
              <w:t xml:space="preserve">STOCKAGENCE_LOTS_BLOQUE → sp_theorique_blocage_lot</w:t>
            </w:r>
          </w:p>
        </w:tc>
        <w:tc>
          <w:tcPr>
            <w:tcW w:w="2000" w:type="dxa"/>
            <w:vAlign w:val="center"/>
          </w:tcPr>
          <w:p>
            <w:pPr>
              <w:spacing w:after="20"/>
            </w:pPr>
            <w:r>
              <w:rPr>
                <w:b/>
              </w:rPr>
              <w:t xml:space="preserve">INDISPONIBLE + THÉORIQUE</w:t>
            </w:r>
          </w:p>
        </w:tc>
        <w:tc>
          <w:tcPr>
            <w:tcW w:w="1700" w:type="dxa"/>
            <w:vAlign w:val="center"/>
          </w:tcPr>
          <w:p>
            <w:pPr>
              <w:spacing w:after="20"/>
            </w:pPr>
            <w:r>
              <w:t xml:space="preserve">Rend la quantité indisponible (lot + agence) et réduit le théorique.</w:t>
            </w:r>
          </w:p>
        </w:tc>
      </w:tr>
      <w:tr>
        <w:tc>
          <w:tcPr>
            <w:tcW w:w="2500" w:type="dxa"/>
            <w:vAlign w:val="center"/>
          </w:tcPr>
          <w:p>
            <w:pPr>
              <w:spacing w:after="20"/>
            </w:pPr>
            <w:r>
              <w:rPr>
                <w:b/>
              </w:rPr>
              <w:t xml:space="preserve">Suspension lot / quarantaine</w:t>
            </w:r>
          </w:p>
        </w:tc>
        <w:tc>
          <w:tcPr>
            <w:tcW w:w="2900" w:type="dxa"/>
            <w:vAlign w:val="center"/>
          </w:tcPr>
          <w:p>
            <w:pPr>
              <w:spacing w:after="20"/>
            </w:pPr>
            <w:r>
              <w:t xml:space="preserve">STOCKAGENCE_LOTS.LotProduitSuspendu → sp_suspension_lot</w:t>
            </w:r>
          </w:p>
        </w:tc>
        <w:tc>
          <w:tcPr>
            <w:tcW w:w="2000" w:type="dxa"/>
            <w:vAlign w:val="center"/>
          </w:tcPr>
          <w:p>
            <w:pPr>
              <w:spacing w:after="20"/>
            </w:pPr>
            <w:r>
              <w:rPr>
                <w:b/>
              </w:rPr>
              <w:t xml:space="preserve">THÉORIQUE + INDISPONIBLE (agence)</w:t>
            </w:r>
          </w:p>
        </w:tc>
        <w:tc>
          <w:tcPr>
            <w:tcW w:w="1700" w:type="dxa"/>
            <w:vAlign w:val="center"/>
          </w:tcPr>
          <w:p>
            <w:pPr>
              <w:spacing w:after="20"/>
            </w:pPr>
            <w:r>
              <w:t xml:space="preserve">Suspension (ex. zone quarantaine). Suit toute variation de stock du lot suspendu (migr. 000033).</w:t>
            </w:r>
          </w:p>
        </w:tc>
      </w:tr>
      <w:tr>
        <w:tc>
          <w:tcPr>
            <w:tcW w:w="2500" w:type="dxa"/>
            <w:vAlign w:val="center"/>
          </w:tcPr>
          <w:p>
            <w:pPr>
              <w:spacing w:after="20"/>
            </w:pPr>
            <w:r>
              <w:rPr>
                <w:b/>
              </w:rPr>
              <w:t xml:space="preserve">Réservation commande client</w:t>
            </w:r>
          </w:p>
        </w:tc>
        <w:tc>
          <w:tcPr>
            <w:tcW w:w="2900" w:type="dxa"/>
            <w:vAlign w:val="center"/>
          </w:tcPr>
          <w:p>
            <w:pPr>
              <w:spacing w:after="20"/>
            </w:pPr>
            <w:r>
              <w:t xml:space="preserve">COMMANDECLIENT(LIGNE) → sp_theorique_commande(_ligne)</w:t>
            </w:r>
          </w:p>
        </w:tc>
        <w:tc>
          <w:tcPr>
            <w:tcW w:w="2000" w:type="dxa"/>
            <w:vAlign w:val="center"/>
          </w:tcPr>
          <w:p>
            <w:pPr>
              <w:spacing w:after="20"/>
            </w:pPr>
            <w:r>
              <w:rPr>
                <w:b/>
              </w:rPr>
              <w:t xml:space="preserve">THÉORIQUE</w:t>
            </w:r>
          </w:p>
        </w:tc>
        <w:tc>
          <w:tcPr>
            <w:tcW w:w="1700" w:type="dxa"/>
            <w:vAlign w:val="center"/>
          </w:tcPr>
          <w:p>
            <w:pPr>
              <w:spacing w:after="20"/>
            </w:pPr>
            <w:r>
              <w:t xml:space="preserve">Réservation théorique dès la commande.</w:t>
            </w:r>
          </w:p>
        </w:tc>
      </w:tr>
      <w:tr>
        <w:tc>
          <w:tcPr>
            <w:tcW w:w="2500" w:type="dxa"/>
            <w:vAlign w:val="center"/>
          </w:tcPr>
          <w:p>
            <w:pPr>
              <w:spacing w:after="20"/>
            </w:pPr>
            <w:r>
              <w:rPr>
                <w:b/>
              </w:rPr>
              <w:t xml:space="preserve">Réservation réapprovisionnement</w:t>
            </w:r>
          </w:p>
        </w:tc>
        <w:tc>
          <w:tcPr>
            <w:tcW w:w="2900" w:type="dxa"/>
            <w:vAlign w:val="center"/>
          </w:tcPr>
          <w:p>
            <w:pPr>
              <w:spacing w:after="20"/>
            </w:pPr>
            <w:r>
              <w:t xml:space="preserve">COMMANDECLIENT(LIGNE) → sp_theorique_reappro(_ligne)</w:t>
            </w:r>
          </w:p>
        </w:tc>
        <w:tc>
          <w:tcPr>
            <w:tcW w:w="2000" w:type="dxa"/>
            <w:vAlign w:val="center"/>
          </w:tcPr>
          <w:p>
            <w:pPr>
              <w:spacing w:after="20"/>
            </w:pPr>
            <w:r>
              <w:rPr>
                <w:b/>
              </w:rPr>
              <w:t xml:space="preserve">THÉORIQUE</w:t>
            </w:r>
          </w:p>
        </w:tc>
        <w:tc>
          <w:tcPr>
            <w:tcW w:w="1700" w:type="dxa"/>
            <w:vAlign w:val="center"/>
          </w:tcPr>
          <w:p>
            <w:pPr>
              <w:spacing w:after="20"/>
            </w:pPr>
            <w:r>
              <w:t xml:space="preserve">Réservation théorique pour réappro.</w:t>
            </w:r>
          </w:p>
        </w:tc>
      </w:tr>
    </w:tbl>
    <w:p>
      <w:pPr>
        <w:spacing w:after="120"/>
      </w:pPr>
      <w:r>
        <w:rPr>
          <w:i/>
          <w:color w:val="666666"/>
          <w:sz w:val="18"/>
          <w:szCs w:val="18"/>
        </w:rPr>
        <w:t xml:space="preserve">* Vente : le théorique est piloté par la variable v_theo — il n'est pas re-décrémenté quand la réservation (commande / préparation différée) l'a déjà pris en compte, pour éviter un double comptage.</w:t>
      </w:r>
    </w:p>
    <w:p>
      <w:pPr>
        <w:spacing w:after="140"/>
      </w:pPr>
      <w:r>
        <w:rPr>
          <w:b/>
          <w:color w:val="1F4E79"/>
          <w:sz w:val="30"/>
          <w:szCs w:val="30"/>
        </w:rPr>
        <w:t xml:space="preserve">4. Points d'attention</w:t>
      </w:r>
    </w:p>
    <w:tbl>
      <w:tblPr>
        <w:tblW w:w="9100" w:type="dxa"/>
        <w:tblBorders>
          <w:top w:val="single" w:sz="4" w:space="0" w:color="AAAAAA"/>
          <w:left w:val="single" w:sz="4" w:space="0" w:color="AAAAAA"/>
          <w:bottom w:val="single" w:sz="4" w:space="0" w:color="AAAAAA"/>
          <w:right w:val="single" w:sz="4" w:space="0" w:color="AAAAAA"/>
          <w:insideH w:val="single" w:sz="4" w:space="0" w:color="AAAAAA"/>
          <w:insideV w:val="single" w:sz="4" w:space="0" w:color="AAAAAA"/>
        </w:tblBorders>
        <w:tblLook w:val="04A0" w:firstRow="1" w:lastRow="0" w:firstColumn="1" w:lastColumn="0" w:noHBand="0" w:noVBand="1"/>
      </w:tblPr>
      <w:tblGrid>
        <w:gridCol w:w="2600"/>
        <w:gridCol w:w="6500"/>
      </w:tblGrid>
      <w:tr>
        <w:tc>
          <w:tcPr>
            <w:tcW w:w="2600" w:type="dxa"/>
            <w:shd w:val="clear" w:color="auto" w:fill="D9E2F3"/>
            <w:vAlign w:val="center"/>
          </w:tcPr>
          <w:p>
            <w:pPr>
              <w:spacing w:after="20"/>
            </w:pPr>
            <w:r>
              <w:rPr>
                <w:b/>
              </w:rPr>
              <w:t xml:space="preserve">Sujet</w:t>
            </w:r>
          </w:p>
        </w:tc>
        <w:tc>
          <w:tcPr>
            <w:tcW w:w="6500" w:type="dxa"/>
            <w:shd w:val="clear" w:color="auto" w:fill="D9E2F3"/>
            <w:vAlign w:val="center"/>
          </w:tcPr>
          <w:p>
            <w:pPr>
              <w:spacing w:after="20"/>
            </w:pPr>
            <w:r>
              <w:rPr>
                <w:b/>
              </w:rPr>
              <w:t xml:space="preserve">Détail</w:t>
            </w:r>
          </w:p>
        </w:tc>
      </w:tr>
      <w:tr>
        <w:tc>
          <w:tcPr>
            <w:tcW w:w="2600" w:type="dxa"/>
            <w:vAlign w:val="center"/>
          </w:tcPr>
          <w:p>
            <w:pPr>
              <w:spacing w:after="20"/>
            </w:pPr>
            <w:r>
              <w:rPr>
                <w:b/>
              </w:rPr>
              <w:t xml:space="preserve">Retour fournisseur = zéro impact stock</w:t>
            </w:r>
          </w:p>
        </w:tc>
        <w:tc>
          <w:tcPr>
            <w:tcW w:w="6500" w:type="dxa"/>
            <w:vAlign w:val="center"/>
          </w:tcPr>
          <w:p>
            <w:pPr>
              <w:spacing w:after="20"/>
            </w:pPr>
            <w:r>
              <w:t xml:space="preserve">La fonction sp_stock_retourfseur_ligne renvoie NULL : le retour fournisseur est traité comme un document comptable (réclamation), il ne touche aucune dimension de stock.</w:t>
            </w:r>
          </w:p>
        </w:tc>
      </w:tr>
      <w:tr>
        <w:tc>
          <w:tcPr>
            <w:tcW w:w="2600" w:type="dxa"/>
            <w:vAlign w:val="center"/>
          </w:tcPr>
          <w:p>
            <w:pPr>
              <w:spacing w:after="20"/>
            </w:pPr>
            <w:r>
              <w:rPr>
                <w:b/>
              </w:rPr>
              <w:t xml:space="preserve">Inter-zone aligné sur le recompute</w:t>
            </w:r>
          </w:p>
        </w:tc>
        <w:tc>
          <w:tcPr>
            <w:tcW w:w="6500" w:type="dxa"/>
            <w:vAlign w:val="center"/>
          </w:tcPr>
          <w:p>
            <w:pPr>
              <w:spacing w:after="20"/>
            </w:pPr>
            <w:r>
              <w:t xml:space="preserve">Le transfert inter-zone circule via la dimension STOCK ZONE (lot + zone) et TRANSIT ; il ne modifie jamais le StockTotal ni le théorique de l'agence, conformément à PG_Actualise_STOCKS.</w:t>
            </w:r>
          </w:p>
        </w:tc>
      </w:tr>
      <w:tr>
        <w:tc>
          <w:tcPr>
            <w:tcW w:w="2600" w:type="dxa"/>
            <w:vAlign w:val="center"/>
          </w:tcPr>
          <w:p>
            <w:pPr>
              <w:spacing w:after="20"/>
            </w:pPr>
            <w:r>
              <w:rPr>
                <w:b/>
              </w:rPr>
              <w:t xml:space="preserve">La suspension suit le stock</w:t>
            </w:r>
          </w:p>
        </w:tc>
        <w:tc>
          <w:tcPr>
            <w:tcW w:w="6500" w:type="dxa"/>
            <w:vAlign w:val="center"/>
          </w:tcPr>
          <w:p>
            <w:pPr>
              <w:spacing w:after="20"/>
            </w:pPr>
            <w:r>
              <w:t xml:space="preserve">Depuis la migration 000033, toute variation du StockTotal_Lot d'un lot suspendu réajuste automatiquement l'indisponible et le théorique.</w:t>
            </w:r>
          </w:p>
        </w:tc>
      </w:tr>
      <w:tr>
        <w:tc>
          <w:tcPr>
            <w:tcW w:w="2600" w:type="dxa"/>
            <w:vAlign w:val="center"/>
          </w:tcPr>
          <w:p>
            <w:pPr>
              <w:spacing w:after="20"/>
            </w:pPr>
            <w:r>
              <w:rPr>
                <w:b/>
              </w:rPr>
              <w:t xml:space="preserve">Création / modification de lot (fiche produit)</w:t>
            </w:r>
          </w:p>
        </w:tc>
        <w:tc>
          <w:tcPr>
            <w:tcW w:w="6500" w:type="dxa"/>
            <w:vAlign w:val="center"/>
          </w:tcPr>
          <w:p>
            <w:pPr>
              <w:spacing w:after="20"/>
            </w:pPr>
            <w:r>
              <w:t xml:space="preserve">Le stock est appliqué une seule fois par la correction ; la suspension est portée par le drapeau LotProduitSuspendu (pas de double écriture).</w:t>
            </w:r>
          </w:p>
        </w:tc>
      </w:tr>
      <w:tr>
        <w:tc>
          <w:tcPr>
            <w:tcW w:w="2600" w:type="dxa"/>
            <w:vAlign w:val="center"/>
          </w:tcPr>
          <w:p>
            <w:pPr>
              <w:spacing w:after="20"/>
            </w:pPr>
            <w:r>
              <w:rPr>
                <w:b/>
              </w:rPr>
              <w:t xml:space="preserve">Écritures directes légitimes (hors journal)</w:t>
            </w:r>
          </w:p>
        </w:tc>
        <w:tc>
          <w:tcPr>
            <w:tcW w:w="6500" w:type="dxa"/>
            <w:vAlign w:val="center"/>
          </w:tcPr>
          <w:p>
            <w:pPr>
              <w:spacing w:after="20"/>
            </w:pPr>
            <w:r>
              <w:t xml:space="preserve">Le recompute autoritaire PG_Actualise_STOCKS (PHP) et les outils d'import/seed écrivent le stock directement — c'est normal pour un recalcul ou un chargement en masse.</w:t>
            </w:r>
          </w:p>
        </w:tc>
      </w:tr>
      <w:tr>
        <w:tc>
          <w:tcPr>
            <w:tcW w:w="2600" w:type="dxa"/>
            <w:vAlign w:val="center"/>
          </w:tcPr>
          <w:p>
            <w:pPr>
              <w:spacing w:after="20"/>
            </w:pPr>
            <w:r>
              <w:rPr>
                <w:b/>
              </w:rPr>
              <w:t xml:space="preserve">Résiduels PHP connus (à traiter à part)</w:t>
            </w:r>
          </w:p>
        </w:tc>
        <w:tc>
          <w:tcPr>
            <w:tcW w:w="6500" w:type="dxa"/>
            <w:vAlign w:val="center"/>
          </w:tcPr>
          <w:p>
            <w:pPr>
              <w:spacing w:after="20"/>
            </w:pPr>
            <w:r>
              <w:t xml:space="preserve">etatMvtRembourse (genererReclamation) et les 2 commandes auto inter-zone recalculent encore du stock en PHP — signalés séparément, hors du périmètre déjà migré.</w:t>
            </w:r>
          </w:p>
        </w:tc>
      </w:tr>
    </w:tbl>
    <w:sectPr>
      <w:pgSz w:w="11906" w:h="16838"/>
      <w:pgMar w:top="1134" w:right="1134" w:bottom="1134" w:left="1134" w:header="708" w:footer="708" w:gutter="0"/>
    </w:sectPr>
  </w:body>
</w:document>
</file>